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embeddings/_____Microsoft_Excel11.xlsx" ContentType="application/vnd.openxmlformats-officedocument.spreadsheetml.sheet"/>
  <Override PartName="/word/embeddings/_____Microsoft_Excel7.xlsx" ContentType="application/vnd.openxmlformats-officedocument.spreadsheetml.sheet"/>
  <Override PartName="/word/embeddings/_____Microsoft_Excel5.xlsx" ContentType="application/vnd.openxmlformats-officedocument.spreadsheetml.sheet"/>
  <Override PartName="/word/embeddings/_____Microsoft_Excel10.xlsx" ContentType="application/vnd.openxmlformats-officedocument.spreadsheetml.sheet"/>
  <Override PartName="/word/embeddings/_____Microsoft_Excel6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12.xlsx" ContentType="application/vnd.openxmlformats-officedocument.spreadsheetml.sheet"/>
  <Override PartName="/word/embeddings/_____Microsoft_Excel9.xlsx" ContentType="application/vnd.openxmlformats-officedocument.spreadsheetml.sheet"/>
  <Override PartName="/word/embeddings/_____Microsoft_Excel4.xlsx" ContentType="application/vnd.openxmlformats-officedocument.spreadsheetml.sheet"/>
  <Override PartName="/word/embeddings/_____Microsoft_Excel8.xlsx" ContentType="application/vnd.openxmlformats-officedocument.spreadsheetml.sheet"/>
  <Override PartName="/word/embeddings/_____Microsoft_Excel3.xlsx" ContentType="application/vnd.openxmlformats-officedocument.spreadsheetml.sheet"/>
  <Override PartName="/word/embeddings/_____Microsoft_Excel2.xlsx" ContentType="application/vnd.openxmlformats-officedocument.spreadsheetml.shee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document.xml" ContentType="application/vnd.openxmlformats-officedocument.wordprocessingml.document.main+xml"/>
  <Override PartName="/word/charts/_rels/chart11.xml.rels" ContentType="application/vnd.openxmlformats-package.relationships+xml"/>
  <Override PartName="/word/charts/_rels/chart4.xml.rels" ContentType="application/vnd.openxmlformats-package.relationships+xml"/>
  <Override PartName="/word/charts/_rels/chart3.xml.rels" ContentType="application/vnd.openxmlformats-package.relationships+xml"/>
  <Override PartName="/word/charts/_rels/chart5.xml.rels" ContentType="application/vnd.openxmlformats-package.relationships+xml"/>
  <Override PartName="/word/charts/_rels/chart6.xml.rels" ContentType="application/vnd.openxmlformats-package.relationships+xml"/>
  <Override PartName="/word/charts/_rels/chart7.xml.rels" ContentType="application/vnd.openxmlformats-package.relationships+xml"/>
  <Override PartName="/word/charts/_rels/chart1.xml.rels" ContentType="application/vnd.openxmlformats-package.relationships+xml"/>
  <Override PartName="/word/charts/_rels/chart8.xml.rels" ContentType="application/vnd.openxmlformats-package.relationships+xml"/>
  <Override PartName="/word/charts/_rels/chart12.xml.rels" ContentType="application/vnd.openxmlformats-package.relationships+xml"/>
  <Override PartName="/word/charts/_rels/chart2.xml.rels" ContentType="application/vnd.openxmlformats-package.relationships+xml"/>
  <Override PartName="/word/charts/_rels/chart9.xml.rels" ContentType="application/vnd.openxmlformats-package.relationships+xml"/>
  <Override PartName="/word/charts/_rels/chart10.xml.rels" ContentType="application/vnd.openxmlformats-package.relationships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5.xml" ContentType="application/vnd.openxmlformats-officedocument.drawingml.chart+xml"/>
  <Override PartName="/word/charts/chart10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Анализ</w:t>
      </w:r>
    </w:p>
    <w:p>
      <w:pPr>
        <w:pStyle w:val="Normal"/>
        <w:ind w:left="-709"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>
      <w:pPr>
        <w:pStyle w:val="Normal"/>
        <w:ind w:left="-709" w:right="-284" w:hanging="0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территории Свердловской области за 9 месяцев 2025 года</w:t>
      </w:r>
    </w:p>
    <w:p>
      <w:pPr>
        <w:pStyle w:val="Normal"/>
        <w:suppressAutoHyphens w:val="true"/>
        <w:jc w:val="both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drawing>
          <wp:inline distT="0" distB="0" distL="0" distR="0">
            <wp:extent cx="2686050" cy="25146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  <w:br/>
        <w:t>за 9 месяцев 2025 г. зарегистрировано 274</w:t>
        <w:br/>
        <w:t xml:space="preserve">(264; +3,8%) ДТП с участием несовершеннолетних, в которых 298 (290; +2,8%) детей получили травмы различной степени тяжести, </w:t>
      </w:r>
      <w:r>
        <w:rPr>
          <w:sz w:val="28"/>
          <w:szCs w:val="28"/>
        </w:rPr>
        <w:t>8 ребят погибли (уровень АППГ).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Дорожно-транспортные происшествия, в результате которых пострадали дети, составили 14% от общего количества учетных дорожных аварий. Таким образом, дети стали участниками каждого 7 ДТП с пострадавшими в регионе.</w:t>
      </w:r>
    </w:p>
    <w:p>
      <w:pPr>
        <w:pStyle w:val="Normal"/>
        <w:suppressAutoHyphens w:val="true"/>
        <w:ind w:left="-709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ДТП с погибшими детьми зарегистрированы на территории обслуживания МО МВД России «Каменск-Уральский» - 2 ДТП (+200%), ОМВД России по Пышминскому району - 1 ДТП (+100%), ОМВД России по городу Березовскому – 1 ДТП (+100%), МО МВД России «Байкаловский» - 1 ДТП (+100%), ОМВД России по Богдановичскому району – 1 ДТП (+100%), МО МВД России «Верхнесалдинский» - 1 ДТП (+100%), МО МВД России «Краснотурьинс</w:t>
      </w:r>
      <w:bookmarkStart w:id="0" w:name="_GoBack"/>
      <w:bookmarkEnd w:id="0"/>
      <w:r>
        <w:rPr>
          <w:sz w:val="28"/>
          <w:szCs w:val="28"/>
        </w:rPr>
        <w:t>кий» - 1 ДТП (+100%):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>
        <w:rPr>
          <w:rFonts w:ascii="PT Astra Serif" w:hAnsi="PT Astra Serif"/>
          <w:i/>
          <w:i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>
        <w:rPr>
          <w:rFonts w:ascii="PT Astra Serif" w:hAnsi="PT Astra Serif"/>
          <w:i/>
          <w:iCs/>
          <w:sz w:val="28"/>
          <w:szCs w:val="28"/>
        </w:rPr>
        <w:t xml:space="preserve"> около 14.00 часов на 10 км автодороги р.п.Пышма-д.Талица (территория обслуживания ОМВД России «Пышминский») водитель, управляя автомашиной Лада217030, при движении со стороны пгт. Пышма в направлении </w:t>
        <w:br/>
        <w:t>д. Талица Пышминского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>
        <w:rPr>
          <w:rFonts w:ascii="PT Astra Serif" w:hAnsi="PT Astra Serif"/>
          <w:i/>
          <w:iCs/>
          <w:sz w:val="28"/>
          <w:szCs w:val="28"/>
        </w:rPr>
        <w:t xml:space="preserve"> около 21.30 часов на 111 км автодороги Екатеринбург - Шадринск - Курган (старое направление, территория обслуживания МО МВД России «Каменск-Уральский»), водитель автомобиля «Киа Спортейдж»,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«Киа К5». В результате ДТП водитель «Киа К5», 43-летняя женщина и ее 9-летняя дочь-пассажир, а также водитель «Киа Спортейдж», которые не были пристегнуты ремнями безопасности, от полученных травм скончались на месте.  Еще два пассажира: «Киа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>
      <w:pPr>
        <w:pStyle w:val="Normal"/>
        <w:ind w:left="-709" w:firstLine="709"/>
        <w:jc w:val="both"/>
        <w:rPr>
          <w:rFonts w:ascii="PT Astra Serif" w:hAnsi="PT Astra Serif" w:eastAsia="Calibri" w:eastAsiaTheme="minorHAnsi"/>
          <w:i/>
          <w:i/>
          <w:iCs/>
          <w:sz w:val="28"/>
          <w:szCs w:val="28"/>
          <w:lang w:eastAsia="en-US"/>
        </w:rPr>
      </w:pPr>
      <w:r>
        <w:rPr>
          <w:rFonts w:eastAsia="Calibri" w:ascii="PT Astra Serif" w:hAnsi="PT Astra Serif" w:eastAsiaTheme="minorHAnsi"/>
          <w:b/>
          <w:bCs/>
          <w:i/>
          <w:iCs/>
          <w:sz w:val="28"/>
          <w:szCs w:val="28"/>
          <w:lang w:eastAsia="en-US"/>
        </w:rPr>
        <w:t xml:space="preserve">23.05.2025 </w:t>
      </w:r>
      <w:r>
        <w:rPr>
          <w:rFonts w:eastAsia="Calibri" w:cs="Times New Roman CYR" w:ascii="PT Astra Serif" w:hAnsi="PT Astra Serif" w:eastAsiaTheme="minorHAnsi"/>
          <w:b/>
          <w:bCs/>
          <w:i/>
          <w:iCs/>
          <w:sz w:val="28"/>
          <w:szCs w:val="28"/>
          <w:lang w:eastAsia="en-US"/>
        </w:rPr>
        <w:t>года</w:t>
      </w:r>
      <w:r>
        <w:rPr>
          <w:rFonts w:eastAsia="Calibri" w:cs="Times New Roman CYR" w:ascii="PT Astra Serif" w:hAnsi="PT Astra Serif" w:eastAsiaTheme="minorHAnsi"/>
          <w:i/>
          <w:iCs/>
          <w:sz w:val="28"/>
          <w:szCs w:val="28"/>
          <w:lang w:eastAsia="en-US"/>
        </w:rPr>
        <w:t xml:space="preserve"> в 14.05 часов в г. Березовский, ул. Гагарина, д. 4, водитель грузовой автомашины </w:t>
      </w:r>
      <w:r>
        <w:rPr>
          <w:rFonts w:eastAsia="Calibri" w:ascii="PT Astra Serif" w:hAnsi="PT Astra Serif" w:eastAsiaTheme="minorHAnsi"/>
          <w:i/>
          <w:iCs/>
          <w:sz w:val="28"/>
          <w:szCs w:val="28"/>
          <w:lang w:eastAsia="en-US"/>
        </w:rPr>
        <w:t>«</w:t>
      </w:r>
      <w:r>
        <w:rPr>
          <w:rFonts w:eastAsia="Calibri" w:cs="Times New Roman CYR" w:ascii="PT Astra Serif" w:hAnsi="PT Astra Serif" w:eastAsiaTheme="minorHAnsi"/>
          <w:i/>
          <w:iCs/>
          <w:sz w:val="28"/>
          <w:szCs w:val="28"/>
          <w:lang w:eastAsia="en-US"/>
        </w:rPr>
        <w:t>Мазда Титан</w:t>
      </w:r>
      <w:r>
        <w:rPr>
          <w:rFonts w:eastAsia="Calibri" w:ascii="PT Astra Serif" w:hAnsi="PT Astra Serif" w:eastAsiaTheme="minorHAnsi"/>
          <w:i/>
          <w:iCs/>
          <w:sz w:val="28"/>
          <w:szCs w:val="28"/>
          <w:lang w:eastAsia="en-US"/>
        </w:rPr>
        <w:t xml:space="preserve">», </w:t>
      </w:r>
      <w:r>
        <w:rPr>
          <w:rFonts w:eastAsia="Calibri" w:cs="Times New Roman CYR" w:ascii="PT Astra Serif" w:hAnsi="PT Astra Serif" w:eastAsiaTheme="minorHAnsi"/>
          <w:i/>
          <w:iCs/>
          <w:sz w:val="28"/>
          <w:szCs w:val="28"/>
          <w:lang w:eastAsia="en-US"/>
        </w:rPr>
        <w:t>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>
        <w:rPr>
          <w:rFonts w:ascii="PT Astra Serif" w:hAnsi="PT Astra Serif"/>
          <w:i/>
          <w:iCs/>
          <w:sz w:val="28"/>
          <w:szCs w:val="28"/>
        </w:rPr>
        <w:t xml:space="preserve"> в 15.20 часов на 6 км автодороги «Подъезд к </w:t>
        <w:br/>
        <w:t>д. Ермакова от автодороги с. Краснослободское - с. Липчинское - границе Тюменской области» Слободо-Туринского района водитель автомашины «Форд Фокус», двигаясь со стороны с. Туринская-Слобода в сторону д. Ермакова, допустил наезд на 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10.08.2025 года</w:t>
      </w:r>
      <w:r>
        <w:rPr>
          <w:rFonts w:ascii="PT Astra Serif" w:hAnsi="PT Astra Serif"/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девочка, перевозимые в детских удерживающих устройствах, соответствующих весу и росту детей, </w:t>
      </w:r>
      <w:r>
        <w:rPr>
          <w:rFonts w:ascii="PT Astra Serif" w:hAnsi="PT Astra Serif"/>
          <w:i/>
          <w:iCs/>
          <w:sz w:val="28"/>
          <w:szCs w:val="28"/>
        </w:rPr>
        <w:t>получили травмы различной степени тяжести, были доставлены в больницы, в одной из которых мальчик спустя 12 дней скончался.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b/>
          <w:i/>
          <w:iCs/>
          <w:sz w:val="28"/>
          <w:szCs w:val="28"/>
        </w:rPr>
        <w:t>26.08.2025 года</w:t>
      </w:r>
      <w:r>
        <w:rPr>
          <w:rFonts w:ascii="PT Astra Serif" w:hAnsi="PT Astra Serif"/>
          <w:i/>
          <w:iCs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 w:eastAsia="Calibri" w:cs="Times New Roman CYR" w:eastAsiaTheme="minorHAnsi"/>
          <w:i/>
          <w:i/>
          <w:iCs/>
          <w:sz w:val="28"/>
          <w:szCs w:val="28"/>
          <w:lang w:eastAsia="en-US"/>
        </w:rPr>
      </w:pPr>
      <w:r>
        <w:rPr>
          <w:rFonts w:ascii="PT Astra Serif" w:hAnsi="PT Astra Serif"/>
          <w:b/>
          <w:i/>
          <w:iCs/>
          <w:sz w:val="28"/>
          <w:szCs w:val="28"/>
        </w:rPr>
        <w:t>28.08.2025 года</w:t>
      </w:r>
      <w:r>
        <w:rPr>
          <w:rFonts w:ascii="PT Astra Serif" w:hAnsi="PT Astra Serif"/>
          <w:i/>
          <w:iCs/>
          <w:sz w:val="28"/>
          <w:szCs w:val="28"/>
        </w:rPr>
        <w:t xml:space="preserve"> около 17.10 часов в г. Верхняя Салда, ул. Воронова, д. 7/А, водитель автомобиля «Ссанг Йонг»,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  В результате ДТП ребенок скончался на месте ДТП до прибытия бригады скорой медицинской помощи. </w:t>
      </w:r>
      <w:r>
        <w:rPr>
          <w:rFonts w:eastAsia="Calibri" w:cs="Times New Roman CYR" w:ascii="PT Astra Serif" w:hAnsi="PT Astra Serif" w:eastAsiaTheme="minorHAnsi"/>
          <w:i/>
          <w:iCs/>
          <w:sz w:val="28"/>
          <w:szCs w:val="28"/>
          <w:lang w:eastAsia="en-US"/>
        </w:rPr>
        <w:t>Известно, что в момент ДТП ребенок, не убедившись в безопасности перехода, перебегал проезжую часть к ждавшей его на противоположной стороне проезжей части матери.</w:t>
      </w:r>
    </w:p>
    <w:p>
      <w:pPr>
        <w:pStyle w:val="Normal"/>
        <w:suppressAutoHyphens w:val="true"/>
        <w:ind w:left="-709" w:right="-1" w:firstLine="709"/>
        <w:jc w:val="both"/>
        <w:rPr>
          <w:rFonts w:ascii="PT Astra Serif" w:hAnsi="PT Astra Serif"/>
          <w:i/>
          <w:i/>
          <w:iCs/>
          <w:sz w:val="28"/>
          <w:szCs w:val="28"/>
        </w:rPr>
      </w:pPr>
      <w:r>
        <w:rPr>
          <w:rFonts w:ascii="PT Astra Serif" w:hAnsi="PT Astra Serif"/>
          <w:b/>
          <w:i/>
          <w:iCs/>
          <w:sz w:val="28"/>
          <w:szCs w:val="28"/>
        </w:rPr>
        <w:t>29.08.2025 года</w:t>
      </w:r>
      <w:r>
        <w:rPr>
          <w:rFonts w:ascii="PT Astra Serif" w:hAnsi="PT Astra Serif"/>
          <w:i/>
          <w:iCs/>
          <w:sz w:val="28"/>
          <w:szCs w:val="28"/>
        </w:rPr>
        <w:t xml:space="preserve"> в 17.17 часов минут на 0 км автодороги г. Богданович -</w:t>
        <w:br/>
        <w:t>с. Гарашкинское водитель грузового автомобиля «Шасман», уходя от столкновения с выехавшим на его полосу движения автомобилем «Сузуки», совершил выезд на встречную полосу движения, где допустил с ним столкновение на полосе движения автомобиля «Сузуки», вернувшегося на свою полосу движения. В результате происшествия водитель и два пассажира, один из которых годовалый мальчик, 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>
      <w:pPr>
        <w:pStyle w:val="Normal"/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19 муниципальных образованиях Свердловской области отмечается рост аварийности с участием несовершеннолетних. На 250% увеличилось количество ДТП в Алапаевском районе (7 ДТП), на 233,3% в Каменске-Уральском (20 ДТП), на 200% в Качканаре и Североуральске (по 3 ДТП), на 116,7% в Заречном (13 ДТП), на 100% в Богдановичском районе (8 ДТП), в Лесном, Байкаловском, Туринском и Шалинском районах (по 2 ДТП), Красноуральске и Пышминском районе (по 1 ДТП), на 75% в Серовском районе (7 ДТП), на 66,7% в Полевском (5 ДТП), на 50% в Артемовском и Режевском районах (по 3 ДТП), на 40% в Сысертском районе (7 ДТП), на 28,6% в Перовоуральске (9 ДТП) и на 11,5% в Нижнем Тагиле (29 ДТП).</w:t>
      </w:r>
    </w:p>
    <w:p>
      <w:pPr>
        <w:pStyle w:val="Normal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23% (69) пострадавших в ДТП детей приходится на дошкольный возраст, 29% (89) на начальную школу и 48% (148) на среднее школьное звено, при этом большая часть пострадали в качестве пешеходов.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-709" w:hanging="0"/>
        <w:jc w:val="both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3028950" cy="1885950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/>
        <w:drawing>
          <wp:inline distT="0" distB="0" distL="0" distR="0">
            <wp:extent cx="3019425" cy="1857375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причине нарушения ПДД РФ водителями транспортных средств количество ДТП увеличилось на 8,2% (224), количество раненых в них детей на 7,3% (250), число погибших детей уменьшилось на 25% (6).</w:t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6120765" cy="1666875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70% ДТП (194) произошли при ясной погоде и 30% (82) при неблагоприятных метеорологических условиях (пасмурно, снегопад, метель). Неблагоприятные и знойные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6120765" cy="2285365"/>
            <wp:effectExtent l="0" t="0" r="0" b="0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Пик происшествий приходится на временной период с 13 ч. 00 мин. до 20 ч. 00 мин. (181 ДТП, 6 погибли, 191 ранен). Помимо этого, рост ДТП на 200% зафиксирован с 06 ч. 00 мин. до 07 ч. 00 мин. (3 ДТП, 3 ранены) и с 17 ч. 00 мин. до 18 ч. 00 мин. (42 ДТП, 2 погибли, 44 ранены).</w:t>
      </w:r>
    </w:p>
    <w:p>
      <w:pPr>
        <w:pStyle w:val="Normal"/>
        <w:ind w:left="-709" w:hanging="0"/>
        <w:jc w:val="center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6096000" cy="2222500"/>
            <wp:effectExtent l="0" t="0" r="0" b="0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PT Astra Serif" w:hAnsi="PT Astra Serif"/>
          <w:color w:val="FF0000"/>
          <w:sz w:val="28"/>
          <w:szCs w:val="28"/>
        </w:rPr>
        <w:br/>
      </w:r>
    </w:p>
    <w:p>
      <w:pPr>
        <w:pStyle w:val="Normal"/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5839460" cy="2524125"/>
            <wp:effectExtent l="0" t="0" r="0" b="0"/>
            <wp:docPr id="8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232 ДТП (+4%), в которых пострадали 244 (+3,4%) несовершеннолетних, 4 ребенка погибли (-33,3%). Рост количества ДТП в населенных пунктах зафиксирован в Нижнем Тагиле – 19 ДТП, в Каменске-Уральском – 14 ДТП, в Первоуральске – 7 ДТП, в Белоярском, Богдановичском, Сысертском районах, Серове – по 6 ДТП, в Полевском и Березовском – по 5 ДТП, в Талицком районе – 4 ДТП, в Артемовском, Верхнесалдинском, Каменском районах, Заречном, Красноуфимске, Североуральске – по 3 ДТП, в Карпинске, Качканаре, Краснотурьинске, Лесном, Камышловском и Шалинском районах – по 2 ДТП, в Алапаевском районе и Красноуральске – по 1 ДТП. На автомобильных дорогах вне населенных пунктов зарегистрировано 43 ДТП (+4,9%), в результате которых травмированы 55 (+1,9%) детей, 4 ребенка погибли (+100%).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дорогах </w:t>
      </w:r>
      <w:r>
        <w:rPr>
          <w:rFonts w:ascii="PT Astra Serif" w:hAnsi="PT Astra Serif"/>
          <w:b/>
          <w:sz w:val="28"/>
          <w:szCs w:val="28"/>
        </w:rPr>
        <w:t>федерального значения</w:t>
      </w:r>
      <w:r>
        <w:rPr>
          <w:rFonts w:ascii="PT Astra Serif" w:hAnsi="PT Astra Serif"/>
          <w:sz w:val="28"/>
          <w:szCs w:val="28"/>
        </w:rPr>
        <w:t xml:space="preserve"> зарегистрировано 13 ДТП (уровень АППГ), в которых пострадали 17 детей (+13,3%). На автомобильных дорогах </w:t>
      </w:r>
      <w:r>
        <w:rPr>
          <w:rFonts w:ascii="PT Astra Serif" w:hAnsi="PT Astra Serif"/>
          <w:b/>
          <w:sz w:val="28"/>
          <w:szCs w:val="28"/>
        </w:rPr>
        <w:t xml:space="preserve">регионального значения </w:t>
      </w:r>
      <w:r>
        <w:rPr>
          <w:rFonts w:ascii="PT Astra Serif" w:hAnsi="PT Astra Serif"/>
          <w:sz w:val="28"/>
          <w:szCs w:val="28"/>
        </w:rPr>
        <w:t xml:space="preserve">произошло 55 ДТП (+3,8%), в которых погибли 3 ребенка (-50%), 64 (уровень АППГ) несовершеннолетних получили травмы различной степени тяжести. На дорогах </w:t>
      </w:r>
      <w:r>
        <w:rPr>
          <w:rFonts w:ascii="PT Astra Serif" w:hAnsi="PT Astra Serif"/>
          <w:b/>
          <w:sz w:val="28"/>
          <w:szCs w:val="28"/>
        </w:rPr>
        <w:t>местного значения</w:t>
      </w:r>
      <w:r>
        <w:rPr>
          <w:rFonts w:ascii="PT Astra Serif" w:hAnsi="PT Astra Serif"/>
          <w:sz w:val="28"/>
          <w:szCs w:val="28"/>
        </w:rPr>
        <w:t xml:space="preserve"> зарегистрировано 145 ДТП (-4,6%), в которых погибли 5 детей (+400%), травмированы - 155 (-5,5%) детей. </w:t>
      </w:r>
    </w:p>
    <w:p>
      <w:pPr>
        <w:pStyle w:val="Normal"/>
        <w:ind w:left="-709" w:firstLine="284"/>
        <w:jc w:val="both"/>
        <w:rPr>
          <w:rFonts w:ascii="PT Astra Serif" w:hAnsi="PT Astra Serif"/>
          <w:b/>
          <w:b/>
          <w:color w:val="FF0000"/>
          <w:sz w:val="28"/>
          <w:szCs w:val="28"/>
          <w:lang w:val="en-US"/>
        </w:rPr>
      </w:pPr>
      <w:r>
        <w:rPr/>
        <w:drawing>
          <wp:inline distT="0" distB="0" distL="0" distR="0">
            <wp:extent cx="6120765" cy="2343150"/>
            <wp:effectExtent l="0" t="0" r="0" b="0"/>
            <wp:docPr id="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PT Astra Serif" w:hAnsi="PT Astra Serif"/>
          <w:color w:val="FF0000"/>
          <w:sz w:val="28"/>
          <w:szCs w:val="28"/>
        </w:rPr>
        <w:br/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>
        <w:rPr>
          <w:rFonts w:ascii="PT Astra Serif" w:hAnsi="PT Astra Serif"/>
          <w:sz w:val="28"/>
          <w:szCs w:val="28"/>
        </w:rPr>
        <w:t xml:space="preserve">: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drawing>
          <wp:anchor behindDoc="0" distT="0" distB="3175" distL="114300" distR="114300" simplePos="0" locked="0" layoutInCell="1" allowOverlap="1" relativeHeight="4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0"/>
            <wp:wrapTight wrapText="bothSides">
              <wp:wrapPolygon edited="0">
                <wp:start x="-64" y="0"/>
                <wp:lineTo x="-64" y="21254"/>
                <wp:lineTo x="21276" y="21254"/>
                <wp:lineTo x="21276" y="0"/>
                <wp:lineTo x="-64" y="0"/>
              </wp:wrapPolygon>
            </wp:wrapTight>
            <wp:docPr id="10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0" t="0" r="861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-709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участием </w:t>
      </w:r>
      <w:r>
        <w:rPr>
          <w:rFonts w:ascii="PT Astra Serif" w:hAnsi="PT Astra Serif"/>
          <w:b/>
          <w:i/>
          <w:sz w:val="28"/>
          <w:szCs w:val="28"/>
        </w:rPr>
        <w:t>детей - пассажиров</w:t>
      </w:r>
      <w:r>
        <w:rPr>
          <w:rFonts w:ascii="PT Astra Serif" w:hAnsi="PT Astra Serif"/>
          <w:sz w:val="28"/>
          <w:szCs w:val="28"/>
        </w:rPr>
        <w:t xml:space="preserve"> зарегистрировано 87 </w:t>
        <w:br/>
        <w:t xml:space="preserve">(112; -22,3%) ДТП, в которых пострадали 106 (132; -19,7%) детей, 3 ребенка погибли (4; -25%). Из них в возрасте до 12 лет травмированы 74 ребенка (85; -12,9%), 3 ребенка погибли (2; </w:t>
        <w:br/>
        <w:t xml:space="preserve">+50%).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Доля ДТП с участием детей - пассажиров от общего показателя аварийности с участием детей составила 32%.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50 случаях ДТП (-13,8%)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59 детей.</w:t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5999480" cy="1714500"/>
            <wp:effectExtent l="0" t="0" r="0" b="0"/>
            <wp:docPr id="1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Normal"/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16 ДТП (12; +33,3%) водители перевозили юных пассажиров в возрасте до 12 лет с нарушением правил перевозки детей, в этих авариях травмированы </w:t>
        <w:br/>
        <w:t>19 детей (14, +35,7%), 2 ребенка погибли (+100%).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77% происшествий, в которых пострадали дети-пассажиры - это столкновения транспортных средств (67; -23,9%), количество травмированных в них детей уменьшилось на 22,4% (83).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100 % зафиксирован рост ДТП с участием детей-пассажиров в период с 06.00 до 07.00 часов (2 ДТП, 2 ранены), на 60 % в период с 11.00 до 12.00 часов (8 ДТП, 9 ранены), на 50 % отмечается рост ДТП в период с 01.00 до 02.00 часов (3 ДТП, 3 ранены), с 10.00 до 11.00 часов (3 ДТП, 3 ранены) и с 22.00 до 23.00 часов (3 ДТП, 4 ранены). Пиковое количество ДТП произошло с 19.00 до 20 часов (9 ДТП, 12 ранены). Большинство аварий произошло в воскресенье (18 ДТП, 19 ранены), субботу (15 ДТП, 17 ранены) и четверг (12 ДТП, 1 погиб, 15 ранены). </w:t>
      </w:r>
    </w:p>
    <w:p>
      <w:pPr>
        <w:pStyle w:val="Normal"/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-387985</wp:posOffset>
                </wp:positionH>
                <wp:positionV relativeFrom="paragraph">
                  <wp:posOffset>69850</wp:posOffset>
                </wp:positionV>
                <wp:extent cx="1996440" cy="112204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13"/>
                        <a:srcRect l="765" t="16496" r="2300" b="10827"/>
                        <a:stretch/>
                      </pic:blipFill>
                      <pic:spPr>
                        <a:xfrm>
                          <a:off x="0" y="0"/>
                          <a:ext cx="1995840" cy="112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-30.55pt;margin-top:5.5pt;width:157.1pt;height:88.25pt" type="shapetype_75">
                <v:imagedata r:id="rId1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участием</w:t>
      </w:r>
      <w:r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>
        <w:rPr>
          <w:rFonts w:ascii="PT Astra Serif" w:hAnsi="PT Astra Serif"/>
          <w:sz w:val="28"/>
          <w:szCs w:val="28"/>
        </w:rPr>
        <w:t xml:space="preserve">зарегистрировано </w:t>
        <w:br/>
        <w:t xml:space="preserve">122 ДТП (92; +32,6%), в которых пострадали 122 (92; +32,6%) несовершеннолетних, 2 ребенка погибли (уровень АППГ). </w:t>
      </w:r>
    </w:p>
    <w:p>
      <w:pPr>
        <w:pStyle w:val="Normal"/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45%.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45 ДТП (42; +7,1%) произошло по причине собственной неосторожности несовершеннолетних пешеходов, в этих авариях пострадали 45 детей (41, +9,8%). Основными нарушениями ПДД РФ, допущенными юными пешеходами, стали: переход проезжей части вне пешеходного перехода – 17, переход проезжей части вне пешеходного перехода в зоне его видимости – 9 ДТП, переход проезжей части в неустановленном месте в зоне видимости перекрестка – 8 ДТП, неподчинение сигналам регулирования -  10 ДТП, неожиданный выход из-за сооружений или деревьев – 1 ДТП.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39% наездов на детей (47; +56,7%) совершены на пешеходных переходах. В таких происшествиях 2 ребенка погибли (+200%), еще 46 травмированы (+37,7%). На 400% увеличилось количество ДТП (10), на 350% травмированных (9) и на 100% погибших (1) в них детей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 ДТП (-30%) произошли в темное время суток, когда на верхней одежде детей отсутствовали световозвращающие элементы.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возрастным характеристикам, наибольшее количество ДТП произошло с участием детей в возрасте 11-12 лет (16 ДТП, +100%), 8-9 лет (15 ДТП, -6,3%), 14-15 лет (11 ДТП; +266,7%) и 7-8 лет (10 ДТП, +25%).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дням недели значительный рост ДТП с участием юных пешеходов наблюдается в воскресенье (16 ДТП, 16 ранены; +77,8%), субботу (14 ДТП, 14 ранены; +75%), пятницу (23 ДТП, 1 погиб, 22 ранены; +64,3%) и понедельник (23 ДТП, 23 ранены; +64,3%). По времени суток наибольший рост количества дорожных аварий зафиксирован на 320% в период с 17 до 18 часов (21 ДТП, 1 погиб, 21 ранен), на 175% в период с 15 до 16 часов (11ДТП, 12 ранены), на 150% в период с 11 до 12 часов (5 ДТП, 5 ранены) и на 100% в период с 09 до 10 часов (2 ДТП, 2 ранены).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25 случаях (20%) ДТП произошли по маршрутам следования детей из дома в образовательную организацию и обратно: МБДОУ Детский сад № 34, № 36, № 488 </w:t>
        <w:br/>
        <w:t xml:space="preserve">г. Екатеринбург, МАОУ СОШ № 1 г. Екатеринбург, МАОУ СОШ № 43 </w:t>
        <w:br/>
        <w:t xml:space="preserve">г. Екатеринбург, МАОУ СОШ № 11 г. Североуральск, МБОУ СОШ № 25 г. Н.Тагил, МАОУ СОШ № 3 г. В.Пышма, ГБУЗ СО «Каменск-Уральская школа» г. К-Уральский, ДОУ № 102 г. К-Уральский, ДОУ «Мартюшовский детский сад «Искорка» пгт. Мартюш Каменский муниципальный округ, ДОУ № 2 г. Сысерть, МАОУ СОШ № 4 </w:t>
        <w:br/>
        <w:t xml:space="preserve">г. Арамиль, СОШ с. Косой Брод г. Полевской, МАОУ СОШ № 2 г. Невьянск, Верхнедубровская СОШ Белоярский район, МАОУ СОШ № 10 Белоярский район, МАОУ СОШ № 5 г. Н.Тагил, МАОУ СОШ № 71 г. Н.Тагил, МАОУ СОШ № 1 </w:t>
        <w:br/>
        <w:t xml:space="preserve">г. Н.Тагил МАДОУ № 8 г. Алапаевск, МАДОУ № 22 г. Лесной, МАОУ СОШ № 2 </w:t>
        <w:br/>
        <w:t>г. Михайловск Нижнесергинский район.</w:t>
      </w:r>
    </w:p>
    <w:p>
      <w:pPr>
        <w:pStyle w:val="Normal"/>
        <w:ind w:left="-709" w:firstLine="720"/>
        <w:jc w:val="both"/>
        <w:rPr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-484505</wp:posOffset>
            </wp:positionH>
            <wp:positionV relativeFrom="paragraph">
              <wp:posOffset>101600</wp:posOffset>
            </wp:positionV>
            <wp:extent cx="1526540" cy="1144905"/>
            <wp:effectExtent l="0" t="0" r="0" b="0"/>
            <wp:wrapTight wrapText="bothSides">
              <wp:wrapPolygon edited="0">
                <wp:start x="-63" y="0"/>
                <wp:lineTo x="-63" y="21142"/>
                <wp:lineTo x="21292" y="21142"/>
                <wp:lineTo x="21292" y="0"/>
                <wp:lineTo x="-63" y="0"/>
              </wp:wrapPolygon>
            </wp:wrapTight>
            <wp:docPr id="13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0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участием </w:t>
      </w:r>
      <w:r>
        <w:rPr>
          <w:rFonts w:ascii="PT Astra Serif" w:hAnsi="PT Astra Serif"/>
          <w:b/>
          <w:i/>
          <w:sz w:val="28"/>
          <w:szCs w:val="28"/>
        </w:rPr>
        <w:t>юных водителей мототранспорта</w:t>
      </w:r>
      <w:r>
        <w:rPr>
          <w:rFonts w:ascii="PT Astra Serif" w:hAnsi="PT Astra Serif"/>
          <w:sz w:val="28"/>
          <w:szCs w:val="28"/>
        </w:rPr>
        <w:t xml:space="preserve"> зарегистрировано 30 ДТП (26; +15,4%), в результате которых 30 </w:t>
        <w:br/>
        <w:t xml:space="preserve">(24; +25%) детей травмированы. </w:t>
      </w:r>
      <w:r>
        <w:rPr>
          <w:sz w:val="28"/>
          <w:szCs w:val="28"/>
        </w:rPr>
        <w:t>Во всех случаях права управления мототранспортом дети не имели, передвигались на мототехнике в городах и населенных пунктах сельского типа. Участниками ДТП стали дети-водители в возрасте 10-15 лет, при этом наибольшее количество дорожных аварий отмечается с подростками в возрасте 14-15 лет (13 ДТП, 13 травмированы).</w:t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-437515</wp:posOffset>
                </wp:positionH>
                <wp:positionV relativeFrom="paragraph">
                  <wp:posOffset>120015</wp:posOffset>
                </wp:positionV>
                <wp:extent cx="1376045" cy="11379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15"/>
                        <a:srcRect l="26223" t="11457" r="19783" b="29374"/>
                        <a:stretch/>
                      </pic:blipFill>
                      <pic:spPr>
                        <a:xfrm>
                          <a:off x="0" y="0"/>
                          <a:ext cx="1375560" cy="1137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-34.45pt;margin-top:9.45pt;width:108.25pt;height:89.5pt" type="shapetype_75">
                <v:imagedata r:id="rId1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участием </w:t>
      </w:r>
      <w:r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>
        <w:rPr>
          <w:rFonts w:ascii="PT Astra Serif" w:hAnsi="PT Astra Serif"/>
          <w:sz w:val="28"/>
          <w:szCs w:val="28"/>
        </w:rPr>
        <w:t xml:space="preserve"> зарегистрировано 30 ДТП (29; +3,4%), в результате которых 3 ребенка погибли (0; +300%), 28 несовершеннолетних травмированы (29; -3,4%). В 28 случаях ДТП травмированные дети не использовали средства пассивной защиты (шлем, налокотники, наколенники). 11 происшествий произошли по собственной неосторожности несовершеннолетних. Участниками ДТП стали дети-велосипедисты в возрасте 4-15 лет, при этом наибольшее количество дорожных аварий отмечается с детьми возрастом 9-10 лет (7 ДТП; +133,3%) и 10-11 лет (6 ДТП; +50%).</w:t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>
        <w:rPr/>
        <w:drawing>
          <wp:inline distT="0" distB="0" distL="0" distR="0">
            <wp:extent cx="4977130" cy="2004060"/>
            <wp:effectExtent l="0" t="0" r="0" b="0"/>
            <wp:docPr id="1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pStyle w:val="Normal"/>
        <w:ind w:left="-709" w:firstLine="720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>
      <w:pPr>
        <w:pStyle w:val="Normal"/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Вина несовершеннолетних усматривается в 94 ДТП из 274 и составляет 34% от общего количества дорожных аварий с участием детей: 12 ДТП в Нижнем Тагиле (+9,1%), по 5 ДТП в Каменск-Уральском (+150%) и Первоуральске (+66,7%), по 4 ДТП в Богдановичском районе (+300%) Серове и Сысертском районе (+100%), по 3 ДТП в Заречном и Алапаевске (+50%), Красноуфимском районе (+200%), по 2 ДТП в Ирбитском и Краснотурьинском районах (+100%), по 1 ДТП в Лесном, Красноуральском, Невьянском, Пышминском и Шалинском районах (+100%). </w:t>
      </w:r>
    </w:p>
    <w:p>
      <w:pPr>
        <w:pStyle w:val="Normal"/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</w:r>
    </w:p>
    <w:p>
      <w:pPr>
        <w:pStyle w:val="Normal"/>
        <w:ind w:left="-709" w:hanging="0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>
        <w:rPr/>
        <w:drawing>
          <wp:inline distT="0" distB="0" distL="0" distR="0">
            <wp:extent cx="5796280" cy="2714625"/>
            <wp:effectExtent l="0" t="0" r="0" b="0"/>
            <wp:docPr id="1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Normal"/>
        <w:ind w:left="-709" w:hanging="0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  <w:r>
        <w:rPr>
          <w:rFonts w:ascii="PT Astra Serif" w:hAnsi="PT Astra Serif"/>
          <w:color w:val="FF0000"/>
          <w:sz w:val="28"/>
          <w:szCs w:val="28"/>
          <w:lang w:val="en-US"/>
        </w:rPr>
      </w:r>
    </w:p>
    <w:p>
      <w:pPr>
        <w:pStyle w:val="Normal"/>
        <w:ind w:left="-709" w:hanging="0"/>
        <w:jc w:val="both"/>
        <w:rPr>
          <w:rFonts w:ascii="PT Astra Serif" w:hAnsi="PT Astra Serif"/>
          <w:i/>
          <w:i/>
          <w:color w:val="FF0000"/>
          <w:sz w:val="28"/>
          <w:szCs w:val="28"/>
        </w:rPr>
      </w:pPr>
      <w:r>
        <w:rPr>
          <w:rFonts w:ascii="PT Astra Serif" w:hAnsi="PT Astra Serif"/>
          <w:i/>
          <w:color w:val="FF0000"/>
          <w:sz w:val="28"/>
          <w:szCs w:val="28"/>
        </w:rPr>
      </w:r>
    </w:p>
    <w:p>
      <w:pPr>
        <w:pStyle w:val="Normal"/>
        <w:ind w:left="-709" w:hanging="0"/>
        <w:jc w:val="both"/>
        <w:rPr/>
      </w:pPr>
      <w:r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sectPr>
      <w:headerReference w:type="default" r:id="rId18"/>
      <w:type w:val="nextPage"/>
      <w:pgSz w:w="11906" w:h="16838"/>
      <w:pgMar w:left="1701" w:right="566" w:header="708" w:top="851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SchoolBook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87045111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785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ed32fc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627155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Текст сноски Знак"/>
    <w:basedOn w:val="DefaultParagraphFont"/>
    <w:link w:val="a8"/>
    <w:semiHidden/>
    <w:qFormat/>
    <w:rsid w:val="00874a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874a55"/>
    <w:rPr>
      <w:vertAlign w:val="superscript"/>
    </w:rPr>
  </w:style>
  <w:style w:type="character" w:styleId="2" w:customStyle="1">
    <w:name w:val="Основной текст (2)_"/>
    <w:link w:val="21"/>
    <w:uiPriority w:val="99"/>
    <w:qFormat/>
    <w:rsid w:val="00df5b6b"/>
    <w:rPr>
      <w:sz w:val="28"/>
      <w:szCs w:val="28"/>
      <w:shd w:fill="FFFFFF" w:val="clear"/>
    </w:rPr>
  </w:style>
  <w:style w:type="character" w:styleId="Style18">
    <w:name w:val="Выделение"/>
    <w:qFormat/>
    <w:rsid w:val="00df5b6b"/>
    <w:rPr>
      <w:i/>
      <w:iCs/>
    </w:rPr>
  </w:style>
  <w:style w:type="character" w:styleId="Style19" w:customStyle="1">
    <w:name w:val="Верхний колонтитул Знак"/>
    <w:basedOn w:val="DefaultParagraphFont"/>
    <w:link w:val="ae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link w:val="af0"/>
    <w:uiPriority w:val="99"/>
    <w:qFormat/>
    <w:rsid w:val="006332c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b w:val="false"/>
    </w:rPr>
  </w:style>
  <w:style w:type="character" w:styleId="ListLabel24">
    <w:name w:val="ListLabel 24"/>
    <w:qFormat/>
    <w:rPr>
      <w:b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color w:val="auto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link w:val="a5"/>
    <w:rsid w:val="00ed32fc"/>
    <w:pPr>
      <w:jc w:val="center"/>
    </w:pPr>
    <w:rPr>
      <w:b/>
      <w:bCs/>
      <w:i/>
      <w:iCs/>
      <w:sz w:val="26"/>
      <w:szCs w:val="26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Spacing">
    <w:name w:val="No Spacing"/>
    <w:uiPriority w:val="1"/>
    <w:qFormat/>
    <w:rsid w:val="00bf785c"/>
    <w:pPr>
      <w:widowControl/>
      <w:bidi w:val="0"/>
      <w:spacing w:lineRule="auto" w:line="240" w:before="0" w:after="0"/>
      <w:jc w:val="left"/>
    </w:pPr>
    <w:rPr>
      <w:rFonts w:ascii="SchoolBook" w:hAnsi="SchoolBook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Default" w:customStyle="1">
    <w:name w:val="Default"/>
    <w:qFormat/>
    <w:rsid w:val="00ed32f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627155"/>
    <w:pPr/>
    <w:rPr>
      <w:rFonts w:ascii="Segoe UI" w:hAnsi="Segoe UI" w:cs="Segoe UI"/>
      <w:sz w:val="18"/>
      <w:szCs w:val="18"/>
    </w:rPr>
  </w:style>
  <w:style w:type="paragraph" w:styleId="Style26">
    <w:name w:val="Footnote Text"/>
    <w:basedOn w:val="Normal"/>
    <w:link w:val="a9"/>
    <w:semiHidden/>
    <w:unhideWhenUsed/>
    <w:rsid w:val="00874a55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a6682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1"/>
    <w:basedOn w:val="Normal"/>
    <w:link w:val="2"/>
    <w:uiPriority w:val="99"/>
    <w:qFormat/>
    <w:rsid w:val="00df5b6b"/>
    <w:pPr>
      <w:widowControl w:val="false"/>
      <w:shd w:val="clear" w:color="auto" w:fill="FFFFFF"/>
      <w:spacing w:lineRule="exact" w:line="322"/>
    </w:pPr>
    <w:rPr>
      <w:rFonts w:ascii="Calibri" w:hAnsi="Calibri" w:eastAsia="Calibri" w:cs="" w:asciiTheme="minorHAnsi" w:cstheme="minorBidi" w:eastAsiaTheme="minorHAnsi" w:hAnsiTheme="minorHAnsi"/>
      <w:sz w:val="28"/>
      <w:szCs w:val="28"/>
      <w:lang w:eastAsia="en-US"/>
    </w:rPr>
  </w:style>
  <w:style w:type="paragraph" w:styleId="Style27">
    <w:name w:val="Header"/>
    <w:basedOn w:val="Normal"/>
    <w:link w:val="af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6332cd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37053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chart" Target="charts/chart7.xml"/><Relationship Id="rId9" Type="http://schemas.openxmlformats.org/officeDocument/2006/relationships/chart" Target="charts/chart8.xml"/><Relationship Id="rId10" Type="http://schemas.openxmlformats.org/officeDocument/2006/relationships/chart" Target="charts/chart9.xml"/><Relationship Id="rId11" Type="http://schemas.openxmlformats.org/officeDocument/2006/relationships/image" Target="media/image1.jpeg"/><Relationship Id="rId12" Type="http://schemas.openxmlformats.org/officeDocument/2006/relationships/chart" Target="charts/chart10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chart" Target="charts/chart11.xml"/><Relationship Id="rId17" Type="http://schemas.openxmlformats.org/officeDocument/2006/relationships/chart" Target="charts/chart12.xm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10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0.xlsx"/>
</Relationships>
</file>

<file path=word/charts/_rels/chart1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1.xlsx"/>
</Relationships>
</file>

<file path=word/charts/_rels/chart1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2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6.xlsx"/>
</Relationships>
</file>

<file path=word/charts/_rels/chart7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7.xlsx"/>
</Relationships>
</file>

<file path=word/charts/_rels/chart8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8.xlsx"/>
</Relationships>
</file>

<file path=word/charts/_rels/chart9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9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6480">
          <a:noFill/>
        </a:ln>
      </c:spPr>
    </c:floor>
    <c:sideWall>
      <c:spPr>
        <a:noFill/>
        <a:ln w="6480">
          <a:noFill/>
        </a:ln>
      </c:spPr>
    </c:sideWall>
    <c:backWall>
      <c:spPr>
        <a:noFill/>
        <a:ln w="6480">
          <a:noFill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264</c:v>
                </c:pt>
                <c:pt idx="1">
                  <c:v>8</c:v>
                </c:pt>
                <c:pt idx="2">
                  <c:v>290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0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</c:dLbl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274</c:v>
                </c:pt>
                <c:pt idx="1">
                  <c:v>8</c:v>
                </c:pt>
                <c:pt idx="2">
                  <c:v>298</c:v>
                </c:pt>
              </c:numCache>
            </c:numRef>
          </c:val>
        </c:ser>
        <c:gapWidth val="150"/>
        <c:shape val="box"/>
        <c:axId val="76332705"/>
        <c:axId val="39872656"/>
        <c:axId val="0"/>
      </c:bar3DChart>
      <c:catAx>
        <c:axId val="76332705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9872656"/>
        <c:crosses val="autoZero"/>
        <c:auto val="1"/>
        <c:lblAlgn val="ctr"/>
        <c:lblOffset val="100"/>
      </c:catAx>
      <c:valAx>
        <c:axId val="39872656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6332705"/>
        <c:crosses val="autoZero"/>
      </c:valAx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400" spc="-1" strike="noStrike">
                <a:solidFill>
                  <a:srgbClr val="000000"/>
                </a:solidFill>
                <a:latin typeface="Calibri"/>
              </a:rPr>
              <a:t>Пассажиры</a:t>
            </a:r>
          </a:p>
        </c:rich>
      </c:tx>
      <c:overlay val="0"/>
    </c:title>
    <c:autoTitleDeleted val="0"/>
    <c:plotArea>
      <c:doughnut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Пассажиры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showLegendKey val="0"/>
              <c:showVal val="0"/>
              <c:showCatName val="0"/>
              <c:showSerName val="0"/>
              <c:showPercent val="1"/>
            </c:dLbl>
            <c:dLbl>
              <c:idx val="1"/>
              <c:showLegendKey val="0"/>
              <c:showVal val="0"/>
              <c:showCatName val="0"/>
              <c:showSerName val="0"/>
              <c:showPercent val="1"/>
            </c:dLbl>
            <c:showLegendKey val="0"/>
            <c:showVal val="0"/>
            <c:showCatName val="0"/>
            <c:showSerName val="0"/>
            <c:showPercent val="1"/>
            <c:showLeaderLines val="0"/>
          </c:dLbls>
          <c:cat>
            <c:strRef>
              <c:f>categories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</c:ser>
        <c:firstSliceAng val="0"/>
        <c:holeSize val="50"/>
      </c:doughnut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400" spc="-1" strike="noStrike">
                <a:solidFill>
                  <a:srgbClr val="000000"/>
                </a:solidFill>
                <a:latin typeface="Calibri"/>
              </a:rPr>
              <a:t>ДТП по категориям участников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87</c:v>
                </c:pt>
                <c:pt idx="1">
                  <c:v>122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400" spc="-1" strike="noStrike">
                <a:solidFill>
                  <a:srgbClr val="000000"/>
                </a:solidFill>
                <a:latin typeface="Calibri"/>
              </a:rPr>
              <a:t>ДТП по собственной 
неосторожности детей</a:t>
            </a:r>
          </a:p>
        </c:rich>
      </c:tx>
      <c:overlay val="0"/>
    </c:title>
    <c:autoTitleDeleted val="0"/>
    <c:view3D>
      <c:rotX val="75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0"/>
            <c:spPr>
              <a:solidFill>
                <a:srgbClr val="26447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1"/>
            <c:spPr>
              <a:solidFill>
                <a:srgbClr val="43682b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2"/>
            <c:spPr>
              <a:solidFill>
                <a:srgbClr val="7cafdd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3"/>
            <c:spPr>
              <a:solidFill>
                <a:srgbClr val="f1975a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4"/>
            <c:spPr>
              <a:solidFill>
                <a:srgbClr val="b7b7b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5"/>
            <c:spPr>
              <a:solidFill>
                <a:srgbClr val="ffcd3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6"/>
            <c:spPr>
              <a:solidFill>
                <a:srgbClr val="698ed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7"/>
            <c:spPr>
              <a:solidFill>
                <a:srgbClr val="8cc168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8"/>
            <c:spPr>
              <a:solidFill>
                <a:srgbClr val="327dc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9"/>
            <c:spPr>
              <a:solidFill>
                <a:srgbClr val="d26012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0"/>
            <c:spPr>
              <a:solidFill>
                <a:srgbClr val="84848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1"/>
            <c:spPr>
              <a:solidFill>
                <a:srgbClr val="cc9a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2"/>
            <c:spPr>
              <a:solidFill>
                <a:srgbClr val="335aa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3"/>
            <c:spPr>
              <a:solidFill>
                <a:srgbClr val="5a8a39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24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Артемовский</c:v>
                </c:pt>
                <c:pt idx="5">
                  <c:v>Байкалово</c:v>
                </c:pt>
                <c:pt idx="6">
                  <c:v>Березовский</c:v>
                </c:pt>
                <c:pt idx="7">
                  <c:v>Богданович</c:v>
                </c:pt>
                <c:pt idx="8">
                  <c:v>Верхняя Пышма</c:v>
                </c:pt>
                <c:pt idx="9">
                  <c:v>Ирбит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Кушва</c:v>
                </c:pt>
                <c:pt idx="13">
                  <c:v>Невьянск</c:v>
                </c:pt>
                <c:pt idx="14">
                  <c:v>Первоуральск</c:v>
                </c:pt>
                <c:pt idx="15">
                  <c:v>Пышма</c:v>
                </c:pt>
                <c:pt idx="16">
                  <c:v>Ревда</c:v>
                </c:pt>
                <c:pt idx="17">
                  <c:v>Серов</c:v>
                </c:pt>
                <c:pt idx="18">
                  <c:v>Сысерть</c:v>
                </c:pt>
                <c:pt idx="19">
                  <c:v>Талица</c:v>
                </c:pt>
                <c:pt idx="20">
                  <c:v>Шаля</c:v>
                </c:pt>
                <c:pt idx="21">
                  <c:v>Красноуфимск</c:v>
                </c:pt>
                <c:pt idx="22">
                  <c:v>Заречный</c:v>
                </c:pt>
                <c:pt idx="23">
                  <c:v>Лесной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4"/>
                <c:pt idx="0">
                  <c:v>34</c:v>
                </c:pt>
                <c:pt idx="1">
                  <c:v>5</c:v>
                </c:pt>
                <c:pt idx="2">
                  <c:v>12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5</c:v>
                </c:pt>
                <c:pt idx="15">
                  <c:v>1</c:v>
                </c:pt>
                <c:pt idx="16">
                  <c:v>1</c:v>
                </c:pt>
                <c:pt idx="17">
                  <c:v>4</c:v>
                </c:pt>
                <c:pt idx="18">
                  <c:v>4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3</c:v>
                </c:pt>
                <c:pt idx="23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200" spc="-1" strike="noStrike">
                <a:solidFill>
                  <a:srgbClr val="000000"/>
                </a:solidFill>
                <a:latin typeface="Calibri"/>
              </a:rPr>
              <a:t>Территории, где зарегистрирован рост ДТП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9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Качканар</c:v>
                </c:pt>
                <c:pt idx="8">
                  <c:v>Красноуральск</c:v>
                </c:pt>
                <c:pt idx="9">
                  <c:v>Лесной</c:v>
                </c:pt>
                <c:pt idx="10">
                  <c:v>Первоуральск</c:v>
                </c:pt>
                <c:pt idx="11">
                  <c:v>Полевской</c:v>
                </c:pt>
                <c:pt idx="12">
                  <c:v>Пышма</c:v>
                </c:pt>
                <c:pt idx="13">
                  <c:v>Реж</c:v>
                </c:pt>
                <c:pt idx="14">
                  <c:v>Североуральск</c:v>
                </c:pt>
                <c:pt idx="15">
                  <c:v>Серов</c:v>
                </c:pt>
                <c:pt idx="16">
                  <c:v>Сысерть</c:v>
                </c:pt>
                <c:pt idx="17">
                  <c:v>Туринск</c:v>
                </c:pt>
                <c:pt idx="18">
                  <c:v>Шаля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9"/>
                <c:pt idx="0">
                  <c:v>6</c:v>
                </c:pt>
                <c:pt idx="1">
                  <c:v>26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7</c:v>
                </c:pt>
                <c:pt idx="11">
                  <c:v>3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4</c:v>
                </c:pt>
                <c:pt idx="16">
                  <c:v>5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9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Качканар</c:v>
                </c:pt>
                <c:pt idx="8">
                  <c:v>Красноуральск</c:v>
                </c:pt>
                <c:pt idx="9">
                  <c:v>Лесной</c:v>
                </c:pt>
                <c:pt idx="10">
                  <c:v>Первоуральск</c:v>
                </c:pt>
                <c:pt idx="11">
                  <c:v>Полевской</c:v>
                </c:pt>
                <c:pt idx="12">
                  <c:v>Пышма</c:v>
                </c:pt>
                <c:pt idx="13">
                  <c:v>Реж</c:v>
                </c:pt>
                <c:pt idx="14">
                  <c:v>Североуральск</c:v>
                </c:pt>
                <c:pt idx="15">
                  <c:v>Серов</c:v>
                </c:pt>
                <c:pt idx="16">
                  <c:v>Сысерть</c:v>
                </c:pt>
                <c:pt idx="17">
                  <c:v>Туринск</c:v>
                </c:pt>
                <c:pt idx="18">
                  <c:v>Шаля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9"/>
                <c:pt idx="0">
                  <c:v>20</c:v>
                </c:pt>
                <c:pt idx="1">
                  <c:v>29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8</c:v>
                </c:pt>
                <c:pt idx="6">
                  <c:v>13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9</c:v>
                </c:pt>
                <c:pt idx="11">
                  <c:v>5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  <c:pt idx="15">
                  <c:v>7</c:v>
                </c:pt>
                <c:pt idx="16">
                  <c:v>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</c:ser>
        <c:gapWidth val="219"/>
        <c:overlap val="-27"/>
        <c:axId val="96552877"/>
        <c:axId val="23085373"/>
      </c:barChart>
      <c:catAx>
        <c:axId val="96552877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3085373"/>
        <c:crosses val="autoZero"/>
        <c:auto val="1"/>
        <c:lblAlgn val="ctr"/>
        <c:lblOffset val="100"/>
      </c:catAx>
      <c:valAx>
        <c:axId val="2308537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6552877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детей по возрастным группам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69</c:v>
                </c:pt>
                <c:pt idx="1">
                  <c:v>89</c:v>
                </c:pt>
                <c:pt idx="2">
                  <c:v>148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200" spc="-1" strike="noStrike">
                <a:solidFill>
                  <a:srgbClr val="000000"/>
                </a:solidFill>
                <a:latin typeface="Calibri"/>
              </a:rPr>
              <a:t>Распределение пострадавших детей по гендерным признакам</a:t>
            </a:r>
          </a:p>
        </c:rich>
      </c:tx>
      <c:overlay val="0"/>
    </c:title>
    <c:autoTitleDeleted val="0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7030a0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</c:dLbl>
            <c:dLblPos val="bestFit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200</c:v>
                </c:pt>
                <c:pt idx="1">
                  <c:v>98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0" sz="1400" spc="-1" strike="noStrike">
                <a:solidFill>
                  <a:srgbClr val="000000"/>
                </a:solidFill>
                <a:latin typeface="Calibri"/>
              </a:rPr>
              <a:t>Распределение показателей в зависимости от погодных условий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194</c:v>
                </c:pt>
                <c:pt idx="1">
                  <c:v>66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208</c:v>
                </c:pt>
                <c:pt idx="1">
                  <c:v>73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219"/>
        <c:overlap val="-27"/>
        <c:axId val="1609947"/>
        <c:axId val="84165365"/>
      </c:barChart>
      <c:catAx>
        <c:axId val="1609947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4165365"/>
        <c:crosses val="autoZero"/>
        <c:auto val="1"/>
        <c:lblAlgn val="ctr"/>
        <c:lblOffset val="100"/>
      </c:catAx>
      <c:valAx>
        <c:axId val="84165365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609947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400" spc="-1" strike="noStrike">
                <a:solidFill>
                  <a:srgbClr val="000000"/>
                </a:solidFill>
                <a:latin typeface="Calibri"/>
              </a:rPr>
              <a:t>Распределение ДТП по времени суток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9</c:v>
                </c:pt>
                <c:pt idx="1">
                  <c:v>11</c:v>
                </c:pt>
                <c:pt idx="2">
                  <c:v>27</c:v>
                </c:pt>
                <c:pt idx="3">
                  <c:v>50</c:v>
                </c:pt>
                <c:pt idx="4">
                  <c:v>83</c:v>
                </c:pt>
                <c:pt idx="5">
                  <c:v>72</c:v>
                </c:pt>
                <c:pt idx="6">
                  <c:v>22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29</c:v>
                </c:pt>
                <c:pt idx="3">
                  <c:v>54</c:v>
                </c:pt>
                <c:pt idx="4">
                  <c:v>87</c:v>
                </c:pt>
                <c:pt idx="5">
                  <c:v>81</c:v>
                </c:pt>
                <c:pt idx="6">
                  <c:v>24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gapWidth val="219"/>
        <c:overlap val="-27"/>
        <c:axId val="52347138"/>
        <c:axId val="67353534"/>
      </c:barChart>
      <c:catAx>
        <c:axId val="52347138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67353534"/>
        <c:crosses val="autoZero"/>
        <c:auto val="1"/>
        <c:lblAlgn val="ctr"/>
        <c:lblOffset val="100"/>
      </c:catAx>
      <c:valAx>
        <c:axId val="6735353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2347138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400" spc="-1" strike="noStrike">
                <a:solidFill>
                  <a:srgbClr val="000000"/>
                </a:solidFill>
                <a:latin typeface="Calibri"/>
              </a:rPr>
              <a:t>Распределение ДТП по дням недели</a:t>
            </a:r>
          </a:p>
        </c:rich>
      </c:tx>
      <c:overlay val="0"/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7"/>
                <c:pt idx="0">
                  <c:v>40</c:v>
                </c:pt>
                <c:pt idx="1">
                  <c:v>38</c:v>
                </c:pt>
                <c:pt idx="2">
                  <c:v>46</c:v>
                </c:pt>
                <c:pt idx="3">
                  <c:v>35</c:v>
                </c:pt>
                <c:pt idx="4">
                  <c:v>43</c:v>
                </c:pt>
                <c:pt idx="5">
                  <c:v>34</c:v>
                </c:pt>
                <c:pt idx="6">
                  <c:v>38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7"/>
                <c:pt idx="0">
                  <c:v>43</c:v>
                </c:pt>
                <c:pt idx="1">
                  <c:v>44</c:v>
                </c:pt>
                <c:pt idx="2">
                  <c:v>50</c:v>
                </c:pt>
                <c:pt idx="3">
                  <c:v>39</c:v>
                </c:pt>
                <c:pt idx="4">
                  <c:v>47</c:v>
                </c:pt>
                <c:pt idx="5">
                  <c:v>37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gapWidth val="219"/>
        <c:overlap val="0"/>
        <c:axId val="9137407"/>
        <c:axId val="91481394"/>
      </c:barChart>
      <c:catAx>
        <c:axId val="9137407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1481394"/>
        <c:crosses val="autoZero"/>
        <c:auto val="1"/>
        <c:lblAlgn val="ctr"/>
        <c:lblOffset val="100"/>
      </c:catAx>
      <c:valAx>
        <c:axId val="9148139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137407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400" spc="-1" strike="noStrike">
                <a:solidFill>
                  <a:srgbClr val="000000"/>
                </a:solidFill>
                <a:latin typeface="Calibri"/>
              </a:rPr>
              <a:t>ДТП по видам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spPr>
        <a:solidFill>
          <a:srgbClr val="d9d9d9"/>
        </a:solidFill>
        <a:ln>
          <a:noFill/>
        </a:ln>
      </c:spPr>
    </c:floor>
    <c:sideWall>
      <c:spPr>
        <a:solidFill>
          <a:srgbClr val="d9d9d9"/>
        </a:solidFill>
        <a:ln>
          <a:noFill/>
        </a:ln>
      </c:spPr>
    </c:sideWall>
    <c:backWall>
      <c:spPr>
        <a:solidFill>
          <a:srgbClr val="d9d9d9"/>
        </a:solidFill>
        <a:ln>
          <a:noFill/>
        </a:ln>
      </c:spPr>
    </c:backWall>
    <c:plotArea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ДТП по видам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explosion val="0"/>
          <c:dPt>
            <c:idx val="0"/>
            <c:spPr>
              <a:solidFill>
                <a:srgbClr val="5b9bd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2"/>
            <c:spPr>
              <a:solidFill>
                <a:srgbClr val="a5a5a5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3"/>
            <c:spPr>
              <a:solidFill>
                <a:srgbClr val="ffc000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4"/>
            <c:spPr>
              <a:solidFill>
                <a:srgbClr val="4472c4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5"/>
            <c:spPr>
              <a:solidFill>
                <a:srgbClr val="70ad47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6"/>
            <c:spPr>
              <a:solidFill>
                <a:srgbClr val="255e91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7"/>
            <c:spPr>
              <a:solidFill>
                <a:srgbClr val="9e480e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8"/>
            <c:spPr>
              <a:solidFill>
                <a:srgbClr val="636363"/>
              </a:solidFill>
              <a:ln w="25560">
                <a:solidFill>
                  <a:srgbClr val="ffffff"/>
                </a:solidFill>
                <a:round/>
              </a:ln>
            </c:spPr>
          </c:dPt>
          <c:dPt>
            <c:idx val="9"/>
            <c:spPr>
              <a:solidFill>
                <a:srgbClr val="997300"/>
              </a:solidFill>
              <a:ln w="25560">
                <a:solidFill>
                  <a:srgbClr val="ffffff"/>
                </a:solidFill>
                <a:round/>
              </a:ln>
            </c:spPr>
          </c:dPt>
          <c:dLbls>
            <c:numFmt formatCode="General" sourceLinked="1"/>
            <c:dLbl>
              <c:idx val="0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1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3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4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5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6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7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8"/>
              <c:dLblPos val="bestFit"/>
              <c:showLegendKey val="0"/>
              <c:showVal val="1"/>
              <c:showCatName val="1"/>
              <c:showSerName val="0"/>
              <c:showPercent val="0"/>
            </c:dLbl>
            <c:dLbl>
              <c:idx val="9"/>
              <c:dLblPos val="bestFit"/>
              <c:showLegendKey val="0"/>
              <c:showVal val="1"/>
              <c:showCatName val="1"/>
              <c:showSerName val="0"/>
              <c:showPercent val="0"/>
            </c:dLbl>
            <c:dLblPos val="bestFit"/>
            <c:showLegendKey val="0"/>
            <c:showVal val="1"/>
            <c:showCatName val="1"/>
            <c:showSerName val="0"/>
            <c:showPercent val="0"/>
            <c:showLeaderLines val="0"/>
          </c:dLbls>
          <c:cat>
            <c:strRef>
              <c:f>categories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89</c:v>
                </c:pt>
                <c:pt idx="1">
                  <c:v>121</c:v>
                </c:pt>
                <c:pt idx="2">
                  <c:v>3</c:v>
                </c:pt>
                <c:pt idx="3">
                  <c:v>15</c:v>
                </c:pt>
                <c:pt idx="4">
                  <c:v/>
                </c:pt>
                <c:pt idx="5">
                  <c:v>33</c:v>
                </c:pt>
                <c:pt idx="6">
                  <c:v>7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</c:pie3DChart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sz="1400" spc="-1" strike="noStrike">
                <a:solidFill>
                  <a:srgbClr val="000000"/>
                </a:solidFill>
                <a:latin typeface="Calibri"/>
              </a:defRPr>
            </a:pPr>
            <a:r>
              <a:rPr b="1" sz="1400" spc="-1" strike="noStrike">
                <a:solidFill>
                  <a:srgbClr val="000000"/>
                </a:solidFill>
                <a:latin typeface="Calibri"/>
              </a:rPr>
              <a:t>Распределение раненых и погибших в ДТП детей по значению дорог</a:t>
            </a:r>
          </a:p>
        </c:rich>
      </c:tx>
      <c:overlay val="0"/>
    </c:title>
    <c:autoTitleDeleted val="0"/>
    <c:plotArea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outEnd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/>
                </c:pt>
                <c:pt idx="1">
                  <c:v>62</c:v>
                </c:pt>
                <c:pt idx="2">
                  <c:v>155</c:v>
                </c:pt>
                <c:pt idx="3">
                  <c:v>64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</c:spPr>
          <c:invertIfNegative val="0"/>
          <c:dLbls>
            <c:numFmt formatCode="General" sourceLinked="1"/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</c:dLbl>
            <c:dLblPos val="ctr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5"/>
                <c:pt idx="0">
                  <c:v/>
                </c:pt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/>
                </c:pt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gapWidth val="182"/>
        <c:overlap val="0"/>
        <c:axId val="26337321"/>
        <c:axId val="83745732"/>
      </c:barChart>
      <c:catAx>
        <c:axId val="26337321"/>
        <c:scaling>
          <c:orientation val="minMax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3745732"/>
        <c:crosses val="autoZero"/>
        <c:auto val="1"/>
        <c:lblAlgn val="ctr"/>
        <c:lblOffset val="100"/>
      </c:catAx>
      <c:valAx>
        <c:axId val="8374573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6337321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A7D7-A957-4F89-8AD0-6B9E243E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Application>LibreOffice/6.0.5.2$Linux_X86_64 LibreOffice_project/00m0$Build-2</Application>
  <Pages>9</Pages>
  <Words>2334</Words>
  <Characters>13670</Characters>
  <CharactersWithSpaces>16010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2025-07-11T15:25:00Z</dcterms:created>
  <dc:creator>Пользователь</dc:creator>
  <dc:description/>
  <dc:language>ru-RU</dc:language>
  <cp:lastModifiedBy>Администратор</cp:lastModifiedBy>
  <cp:lastPrinted>2025-10-21T12:10:07Z</cp:lastPrinted>
  <dcterms:modified xsi:type="dcterms:W3CDTF">2025-10-13T08:30:00Z</dcterms:modified>
  <cp:revision>348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